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EA" w:rsidRDefault="00897AEA" w:rsidP="00FA5A71">
      <w:pPr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</w:p>
    <w:p w:rsidR="00DE0A4C" w:rsidRDefault="00DE0A4C" w:rsidP="00FA5A71">
      <w:pPr>
        <w:rPr>
          <w:rFonts w:ascii="Calibri" w:hAnsi="Calibri" w:cs="Calibri"/>
          <w:sz w:val="22"/>
          <w:szCs w:val="22"/>
          <w:lang w:val="en-GB"/>
        </w:rPr>
      </w:pPr>
    </w:p>
    <w:p w:rsidR="00283BD3" w:rsidRDefault="008544A5" w:rsidP="00FA5A71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Wednesday, 28</w:t>
      </w:r>
      <w:r w:rsidR="00283BD3">
        <w:rPr>
          <w:rFonts w:ascii="Calibri" w:hAnsi="Calibri" w:cs="Calibri"/>
          <w:sz w:val="22"/>
          <w:szCs w:val="22"/>
          <w:lang w:val="en-GB"/>
        </w:rPr>
        <w:t xml:space="preserve"> May, 2014</w:t>
      </w:r>
    </w:p>
    <w:p w:rsidR="00283BD3" w:rsidRDefault="00283BD3" w:rsidP="00FA5A71">
      <w:pPr>
        <w:rPr>
          <w:rFonts w:ascii="Calibri" w:hAnsi="Calibri" w:cs="Calibri"/>
          <w:sz w:val="22"/>
          <w:szCs w:val="22"/>
          <w:lang w:val="en-GB"/>
        </w:rPr>
      </w:pPr>
    </w:p>
    <w:p w:rsidR="00F92CDF" w:rsidRPr="005C0AF9" w:rsidRDefault="00F92CDF" w:rsidP="00FA5A71">
      <w:pPr>
        <w:rPr>
          <w:rFonts w:ascii="Calibri" w:hAnsi="Calibri" w:cs="Calibri"/>
          <w:sz w:val="22"/>
          <w:szCs w:val="22"/>
          <w:lang w:val="en-GB"/>
        </w:rPr>
      </w:pPr>
      <w:r w:rsidRPr="005C0AF9">
        <w:rPr>
          <w:rFonts w:ascii="Calibri" w:hAnsi="Calibri" w:cs="Calibri"/>
          <w:sz w:val="22"/>
          <w:szCs w:val="22"/>
          <w:lang w:val="en-GB"/>
        </w:rPr>
        <w:t xml:space="preserve">PRESS RELEASE </w:t>
      </w:r>
    </w:p>
    <w:p w:rsidR="006E60CA" w:rsidRDefault="00261154" w:rsidP="007F0823">
      <w:pPr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t>PRODUCERS CONFIDENT THAT MTBE IS NOT AN ENDOCRINE DISRUPTOR</w:t>
      </w:r>
    </w:p>
    <w:p w:rsidR="006E60CA" w:rsidRDefault="006E60CA" w:rsidP="007F0823">
      <w:pPr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D0128F" w:rsidRDefault="00261154" w:rsidP="00320B21">
      <w:pPr>
        <w:jc w:val="both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T</w:t>
      </w:r>
      <w:r w:rsidR="004F294F">
        <w:rPr>
          <w:rFonts w:ascii="Calibri" w:hAnsi="Calibri" w:cs="Calibri"/>
          <w:i/>
          <w:sz w:val="22"/>
          <w:szCs w:val="22"/>
          <w:lang w:val="en-GB"/>
        </w:rPr>
        <w:t>he European Fuel Oxygenates Association</w:t>
      </w:r>
      <w:r w:rsidR="006E60CA">
        <w:rPr>
          <w:rFonts w:ascii="Calibri" w:hAnsi="Calibri" w:cs="Calibri"/>
          <w:i/>
          <w:sz w:val="22"/>
          <w:szCs w:val="22"/>
          <w:lang w:val="en-GB"/>
        </w:rPr>
        <w:t xml:space="preserve"> (EFOA)</w:t>
      </w:r>
      <w:r w:rsidR="00FB7023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believes a full 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>review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320B21">
        <w:rPr>
          <w:rFonts w:ascii="Calibri" w:hAnsi="Calibri" w:cs="Calibri"/>
          <w:i/>
          <w:sz w:val="22"/>
          <w:szCs w:val="22"/>
          <w:lang w:val="en-GB"/>
        </w:rPr>
        <w:t>of</w:t>
      </w:r>
      <w:r w:rsidR="00E9742F">
        <w:rPr>
          <w:rFonts w:ascii="Calibri" w:hAnsi="Calibri" w:cs="Calibri"/>
          <w:i/>
          <w:sz w:val="22"/>
          <w:szCs w:val="22"/>
          <w:lang w:val="en-GB"/>
        </w:rPr>
        <w:t xml:space="preserve"> the substance’s</w:t>
      </w:r>
      <w:r w:rsidR="00320B21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n-GB"/>
        </w:rPr>
        <w:t>REACH registration</w:t>
      </w:r>
      <w:r w:rsidR="00320B21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E9742F">
        <w:rPr>
          <w:rFonts w:ascii="Calibri" w:hAnsi="Calibri" w:cs="Calibri"/>
          <w:i/>
          <w:sz w:val="22"/>
          <w:szCs w:val="22"/>
          <w:lang w:val="en-GB"/>
        </w:rPr>
        <w:t>due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in 2014 </w:t>
      </w:r>
      <w:r w:rsidR="00320B21">
        <w:rPr>
          <w:rFonts w:ascii="Calibri" w:hAnsi="Calibri" w:cs="Calibri"/>
          <w:i/>
          <w:sz w:val="22"/>
          <w:szCs w:val="22"/>
          <w:lang w:val="en-GB"/>
        </w:rPr>
        <w:t>will conclude that MTBE is not an endocrine disruptor.</w:t>
      </w:r>
    </w:p>
    <w:p w:rsidR="00320B21" w:rsidRDefault="00320B21" w:rsidP="00320B21">
      <w:pPr>
        <w:jc w:val="both"/>
        <w:rPr>
          <w:rFonts w:ascii="Calibri" w:hAnsi="Calibri" w:cs="Calibri"/>
          <w:i/>
          <w:sz w:val="22"/>
          <w:szCs w:val="22"/>
          <w:lang w:val="en-GB"/>
        </w:rPr>
      </w:pPr>
    </w:p>
    <w:p w:rsidR="00261154" w:rsidRDefault="00283BD3" w:rsidP="00426BE5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On 22 May 2014</w:t>
      </w:r>
      <w:r w:rsidR="00D0128F">
        <w:rPr>
          <w:color w:val="auto"/>
          <w:sz w:val="22"/>
          <w:szCs w:val="22"/>
          <w:lang w:val="en-GB"/>
        </w:rPr>
        <w:t xml:space="preserve">, </w:t>
      </w:r>
      <w:r w:rsidR="00D0128F" w:rsidRPr="00897AEA">
        <w:rPr>
          <w:color w:val="auto"/>
          <w:sz w:val="22"/>
          <w:szCs w:val="22"/>
          <w:lang w:val="en-GB"/>
        </w:rPr>
        <w:t>ANSES, the French Agency for Food, Environmental and Occupational Health &amp; Safety, published</w:t>
      </w:r>
      <w:r w:rsidR="00D0128F">
        <w:rPr>
          <w:color w:val="auto"/>
          <w:sz w:val="22"/>
          <w:szCs w:val="22"/>
          <w:lang w:val="en-GB"/>
        </w:rPr>
        <w:t xml:space="preserve"> a </w:t>
      </w:r>
      <w:r w:rsidR="005367AC">
        <w:rPr>
          <w:color w:val="auto"/>
          <w:sz w:val="22"/>
          <w:szCs w:val="22"/>
          <w:lang w:val="en-GB"/>
        </w:rPr>
        <w:t>report</w:t>
      </w:r>
      <w:r w:rsidR="00D0128F">
        <w:rPr>
          <w:color w:val="auto"/>
          <w:sz w:val="22"/>
          <w:szCs w:val="22"/>
          <w:lang w:val="en-GB"/>
        </w:rPr>
        <w:t xml:space="preserve"> </w:t>
      </w:r>
      <w:r w:rsidR="00902726">
        <w:rPr>
          <w:color w:val="auto"/>
          <w:sz w:val="22"/>
          <w:szCs w:val="22"/>
          <w:lang w:val="en-GB"/>
        </w:rPr>
        <w:t>evaluating</w:t>
      </w:r>
      <w:r w:rsidR="006E60CA">
        <w:rPr>
          <w:color w:val="auto"/>
          <w:sz w:val="22"/>
          <w:szCs w:val="22"/>
          <w:lang w:val="en-GB"/>
        </w:rPr>
        <w:t xml:space="preserve"> the potential </w:t>
      </w:r>
      <w:r w:rsidR="007117A6">
        <w:rPr>
          <w:color w:val="auto"/>
          <w:sz w:val="22"/>
          <w:szCs w:val="22"/>
          <w:lang w:val="en-GB"/>
        </w:rPr>
        <w:t>endocrine</w:t>
      </w:r>
      <w:r w:rsidR="006E60CA">
        <w:rPr>
          <w:color w:val="auto"/>
          <w:sz w:val="22"/>
          <w:szCs w:val="22"/>
          <w:lang w:val="en-GB"/>
        </w:rPr>
        <w:t xml:space="preserve"> disrupting properties of </w:t>
      </w:r>
      <w:r w:rsidR="00D26A80">
        <w:rPr>
          <w:color w:val="auto"/>
          <w:sz w:val="22"/>
          <w:szCs w:val="22"/>
          <w:lang w:val="en-GB"/>
        </w:rPr>
        <w:t xml:space="preserve">five </w:t>
      </w:r>
      <w:r w:rsidR="00261154">
        <w:rPr>
          <w:color w:val="auto"/>
          <w:sz w:val="22"/>
          <w:szCs w:val="22"/>
          <w:lang w:val="en-GB"/>
        </w:rPr>
        <w:t xml:space="preserve">substances, including the fuel oxygenate </w:t>
      </w:r>
      <w:r w:rsidR="00261154" w:rsidRPr="009F588E">
        <w:rPr>
          <w:color w:val="auto"/>
          <w:sz w:val="22"/>
          <w:szCs w:val="22"/>
          <w:lang w:val="en-GB"/>
        </w:rPr>
        <w:t xml:space="preserve">Methyl </w:t>
      </w:r>
      <w:proofErr w:type="spellStart"/>
      <w:r w:rsidR="00261154" w:rsidRPr="009F588E">
        <w:rPr>
          <w:color w:val="auto"/>
          <w:sz w:val="22"/>
          <w:szCs w:val="22"/>
          <w:lang w:val="en-GB"/>
        </w:rPr>
        <w:t>tert</w:t>
      </w:r>
      <w:proofErr w:type="spellEnd"/>
      <w:r w:rsidR="00261154" w:rsidRPr="009F588E">
        <w:rPr>
          <w:color w:val="auto"/>
          <w:sz w:val="22"/>
          <w:szCs w:val="22"/>
          <w:lang w:val="en-GB"/>
        </w:rPr>
        <w:t>-butyl ether</w:t>
      </w:r>
      <w:r w:rsidR="00261154">
        <w:rPr>
          <w:color w:val="auto"/>
          <w:sz w:val="22"/>
          <w:szCs w:val="22"/>
          <w:lang w:val="en-GB"/>
        </w:rPr>
        <w:t xml:space="preserve"> (MTBE).</w:t>
      </w:r>
    </w:p>
    <w:p w:rsidR="00261154" w:rsidRPr="00741053" w:rsidRDefault="00261154" w:rsidP="00426BE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F40D67" w:rsidRDefault="00283BD3" w:rsidP="00C83600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MTBE producers are confident that </w:t>
      </w:r>
      <w:r w:rsidR="00DE0E0D">
        <w:rPr>
          <w:color w:val="auto"/>
          <w:sz w:val="22"/>
          <w:szCs w:val="22"/>
          <w:lang w:val="en-GB"/>
        </w:rPr>
        <w:t xml:space="preserve">the results of </w:t>
      </w:r>
      <w:r w:rsidR="00DE0A4C">
        <w:rPr>
          <w:color w:val="auto"/>
          <w:sz w:val="22"/>
          <w:szCs w:val="22"/>
          <w:lang w:val="en-GB"/>
        </w:rPr>
        <w:t xml:space="preserve">new </w:t>
      </w:r>
      <w:r>
        <w:rPr>
          <w:color w:val="auto"/>
          <w:sz w:val="22"/>
          <w:szCs w:val="22"/>
          <w:lang w:val="en-GB"/>
        </w:rPr>
        <w:t xml:space="preserve">experimental studies, </w:t>
      </w:r>
      <w:r w:rsidR="00F40D67">
        <w:rPr>
          <w:color w:val="auto"/>
          <w:sz w:val="22"/>
          <w:szCs w:val="22"/>
          <w:lang w:val="en-GB"/>
        </w:rPr>
        <w:t>which have only recently been included in the substance</w:t>
      </w:r>
      <w:r w:rsidR="00FE4449">
        <w:rPr>
          <w:color w:val="auto"/>
          <w:sz w:val="22"/>
          <w:szCs w:val="22"/>
          <w:lang w:val="en-GB"/>
        </w:rPr>
        <w:t>’</w:t>
      </w:r>
      <w:r w:rsidR="00F40D67">
        <w:rPr>
          <w:color w:val="auto"/>
          <w:sz w:val="22"/>
          <w:szCs w:val="22"/>
          <w:lang w:val="en-GB"/>
        </w:rPr>
        <w:t>s REACH dossier, and a</w:t>
      </w:r>
      <w:r w:rsidR="00FE4449">
        <w:rPr>
          <w:color w:val="auto"/>
          <w:sz w:val="22"/>
          <w:szCs w:val="22"/>
          <w:lang w:val="en-GB"/>
        </w:rPr>
        <w:t>n expert review</w:t>
      </w:r>
      <w:r w:rsidR="00F40D67">
        <w:rPr>
          <w:color w:val="auto"/>
          <w:sz w:val="22"/>
          <w:szCs w:val="22"/>
          <w:lang w:val="en-GB"/>
        </w:rPr>
        <w:t xml:space="preserve"> of current literature</w:t>
      </w:r>
      <w:r w:rsidR="00041D43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</w:t>
      </w:r>
      <w:r w:rsidR="00F40D67">
        <w:rPr>
          <w:color w:val="auto"/>
          <w:sz w:val="22"/>
          <w:szCs w:val="22"/>
          <w:lang w:val="en-GB"/>
        </w:rPr>
        <w:t xml:space="preserve">underline </w:t>
      </w:r>
      <w:r>
        <w:rPr>
          <w:color w:val="auto"/>
          <w:sz w:val="22"/>
          <w:szCs w:val="22"/>
          <w:lang w:val="en-GB"/>
        </w:rPr>
        <w:t xml:space="preserve">that MTBE is not an endocrine disruptor. </w:t>
      </w:r>
    </w:p>
    <w:p w:rsidR="00F40D67" w:rsidRDefault="00F40D67" w:rsidP="00F40D67">
      <w:pPr>
        <w:pStyle w:val="Default"/>
        <w:jc w:val="both"/>
        <w:rPr>
          <w:i/>
          <w:color w:val="auto"/>
          <w:sz w:val="22"/>
          <w:szCs w:val="22"/>
          <w:lang w:val="en-GB"/>
        </w:rPr>
      </w:pPr>
    </w:p>
    <w:p w:rsidR="00DE0E0D" w:rsidRDefault="00F40D67" w:rsidP="00C83600">
      <w:pPr>
        <w:pStyle w:val="Default"/>
        <w:jc w:val="both"/>
        <w:rPr>
          <w:sz w:val="22"/>
          <w:szCs w:val="22"/>
          <w:lang w:val="en-GB"/>
        </w:rPr>
      </w:pPr>
      <w:r w:rsidRPr="00B50B4B">
        <w:rPr>
          <w:i/>
          <w:color w:val="auto"/>
          <w:sz w:val="22"/>
          <w:szCs w:val="22"/>
          <w:lang w:val="en-GB"/>
        </w:rPr>
        <w:t>“The Industry is confident that MTBE does not meet criteria or definition</w:t>
      </w:r>
      <w:r>
        <w:rPr>
          <w:i/>
          <w:color w:val="auto"/>
          <w:sz w:val="22"/>
          <w:szCs w:val="22"/>
          <w:lang w:val="en-GB"/>
        </w:rPr>
        <w:t>s</w:t>
      </w:r>
      <w:r w:rsidRPr="00B50B4B">
        <w:rPr>
          <w:i/>
          <w:color w:val="auto"/>
          <w:sz w:val="22"/>
          <w:szCs w:val="22"/>
          <w:lang w:val="en-GB"/>
        </w:rPr>
        <w:t xml:space="preserve"> of an endocrine disruptor. When the authorities take a</w:t>
      </w:r>
      <w:r>
        <w:rPr>
          <w:i/>
          <w:color w:val="auto"/>
          <w:sz w:val="22"/>
          <w:szCs w:val="22"/>
          <w:lang w:val="en-GB"/>
        </w:rPr>
        <w:t xml:space="preserve"> look at the updated REACH dossier this will </w:t>
      </w:r>
      <w:r w:rsidR="00DE0E0D">
        <w:rPr>
          <w:i/>
          <w:color w:val="auto"/>
          <w:sz w:val="22"/>
          <w:szCs w:val="22"/>
          <w:lang w:val="en-GB"/>
        </w:rPr>
        <w:t>become apparent</w:t>
      </w:r>
      <w:r>
        <w:rPr>
          <w:i/>
          <w:color w:val="auto"/>
          <w:sz w:val="22"/>
          <w:szCs w:val="22"/>
          <w:lang w:val="en-GB"/>
        </w:rPr>
        <w:t>,</w:t>
      </w:r>
      <w:r w:rsidRPr="00B50B4B">
        <w:rPr>
          <w:i/>
          <w:color w:val="auto"/>
          <w:sz w:val="22"/>
          <w:szCs w:val="22"/>
          <w:lang w:val="en-GB"/>
        </w:rPr>
        <w:t xml:space="preserve">” </w:t>
      </w:r>
      <w:r w:rsidRPr="00C83600">
        <w:rPr>
          <w:sz w:val="22"/>
          <w:szCs w:val="22"/>
          <w:lang w:val="en-GB"/>
        </w:rPr>
        <w:t xml:space="preserve">said Graeme Wallace of </w:t>
      </w:r>
      <w:r>
        <w:rPr>
          <w:sz w:val="22"/>
          <w:szCs w:val="22"/>
          <w:lang w:val="en-GB"/>
        </w:rPr>
        <w:t>the European Fuel Oxygenates Association</w:t>
      </w:r>
      <w:r w:rsidR="00DE0E0D">
        <w:rPr>
          <w:sz w:val="22"/>
          <w:szCs w:val="22"/>
          <w:lang w:val="en-GB"/>
        </w:rPr>
        <w:t xml:space="preserve"> (EFOA), the industry’s European representative body</w:t>
      </w:r>
      <w:r w:rsidRPr="00C83600">
        <w:rPr>
          <w:sz w:val="22"/>
          <w:szCs w:val="22"/>
          <w:lang w:val="en-GB"/>
        </w:rPr>
        <w:t>.</w:t>
      </w:r>
    </w:p>
    <w:p w:rsidR="00DE0A4C" w:rsidRDefault="00DE0A4C" w:rsidP="00C8360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DE0E0D" w:rsidRDefault="00F40D67" w:rsidP="00C83600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ANSES concludes that </w:t>
      </w:r>
      <w:r w:rsidR="00DE0E0D">
        <w:rPr>
          <w:color w:val="auto"/>
          <w:sz w:val="22"/>
          <w:szCs w:val="22"/>
          <w:lang w:val="en-GB"/>
        </w:rPr>
        <w:t>its assessment of MTBE come</w:t>
      </w:r>
      <w:r w:rsidR="00920FC5">
        <w:rPr>
          <w:color w:val="auto"/>
          <w:sz w:val="22"/>
          <w:szCs w:val="22"/>
          <w:lang w:val="en-GB"/>
        </w:rPr>
        <w:t>s</w:t>
      </w:r>
      <w:r w:rsidR="00DE0E0D">
        <w:rPr>
          <w:color w:val="auto"/>
          <w:sz w:val="22"/>
          <w:szCs w:val="22"/>
          <w:lang w:val="en-GB"/>
        </w:rPr>
        <w:t xml:space="preserve"> with </w:t>
      </w:r>
      <w:r>
        <w:rPr>
          <w:color w:val="auto"/>
          <w:sz w:val="22"/>
          <w:szCs w:val="22"/>
          <w:lang w:val="en-GB"/>
        </w:rPr>
        <w:t>a large degree of uncertainty given the</w:t>
      </w:r>
      <w:r w:rsidR="00DE0E0D">
        <w:rPr>
          <w:color w:val="auto"/>
          <w:sz w:val="22"/>
          <w:szCs w:val="22"/>
          <w:lang w:val="en-GB"/>
        </w:rPr>
        <w:t xml:space="preserve"> limited</w:t>
      </w:r>
      <w:r>
        <w:rPr>
          <w:color w:val="auto"/>
          <w:sz w:val="22"/>
          <w:szCs w:val="22"/>
          <w:lang w:val="en-GB"/>
        </w:rPr>
        <w:t xml:space="preserve"> data available to the Agenc</w:t>
      </w:r>
      <w:r w:rsidR="00DE0E0D">
        <w:rPr>
          <w:color w:val="auto"/>
          <w:sz w:val="22"/>
          <w:szCs w:val="22"/>
          <w:lang w:val="en-GB"/>
        </w:rPr>
        <w:t>y at the time of its work</w:t>
      </w:r>
      <w:r>
        <w:rPr>
          <w:color w:val="auto"/>
          <w:sz w:val="22"/>
          <w:szCs w:val="22"/>
          <w:lang w:val="en-GB"/>
        </w:rPr>
        <w:t xml:space="preserve">. </w:t>
      </w:r>
    </w:p>
    <w:p w:rsidR="00DE0E0D" w:rsidRDefault="00DE0E0D" w:rsidP="00C8360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DE0E0D" w:rsidRDefault="00DE0E0D" w:rsidP="00DE0E0D">
      <w:pPr>
        <w:pStyle w:val="Defaul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Recognising the need for </w:t>
      </w:r>
      <w:r w:rsidR="00FE4449">
        <w:rPr>
          <w:color w:val="auto"/>
          <w:sz w:val="22"/>
          <w:szCs w:val="22"/>
          <w:lang w:val="en-GB"/>
        </w:rPr>
        <w:t>such</w:t>
      </w:r>
      <w:r>
        <w:rPr>
          <w:color w:val="auto"/>
          <w:sz w:val="22"/>
          <w:szCs w:val="22"/>
          <w:lang w:val="en-GB"/>
        </w:rPr>
        <w:t xml:space="preserve"> data, t</w:t>
      </w:r>
      <w:r w:rsidR="00F40D67">
        <w:rPr>
          <w:color w:val="auto"/>
          <w:sz w:val="22"/>
          <w:szCs w:val="22"/>
          <w:lang w:val="en-GB"/>
        </w:rPr>
        <w:t>he industry recently</w:t>
      </w:r>
      <w:r w:rsidR="004E3628">
        <w:rPr>
          <w:color w:val="auto"/>
          <w:sz w:val="22"/>
          <w:szCs w:val="22"/>
          <w:lang w:val="en-GB"/>
        </w:rPr>
        <w:t xml:space="preserve"> took the</w:t>
      </w:r>
      <w:r w:rsidR="00F40D67">
        <w:rPr>
          <w:color w:val="auto"/>
          <w:sz w:val="22"/>
          <w:szCs w:val="22"/>
          <w:lang w:val="en-GB"/>
        </w:rPr>
        <w:t xml:space="preserve"> </w:t>
      </w:r>
      <w:r w:rsidR="00DE0A4C">
        <w:rPr>
          <w:color w:val="auto"/>
          <w:sz w:val="22"/>
          <w:szCs w:val="22"/>
          <w:lang w:val="en-GB"/>
        </w:rPr>
        <w:t>initiat</w:t>
      </w:r>
      <w:r w:rsidR="004E3628">
        <w:rPr>
          <w:color w:val="auto"/>
          <w:sz w:val="22"/>
          <w:szCs w:val="22"/>
          <w:lang w:val="en-GB"/>
        </w:rPr>
        <w:t>ive to</w:t>
      </w:r>
      <w:r w:rsidR="00DE0A4C">
        <w:rPr>
          <w:color w:val="auto"/>
          <w:sz w:val="22"/>
          <w:szCs w:val="22"/>
          <w:lang w:val="en-GB"/>
        </w:rPr>
        <w:t xml:space="preserve"> </w:t>
      </w:r>
      <w:r w:rsidR="00071018">
        <w:rPr>
          <w:color w:val="auto"/>
          <w:sz w:val="22"/>
          <w:szCs w:val="22"/>
          <w:lang w:val="en-GB"/>
        </w:rPr>
        <w:t xml:space="preserve">develop </w:t>
      </w:r>
      <w:r>
        <w:rPr>
          <w:color w:val="auto"/>
          <w:sz w:val="22"/>
          <w:szCs w:val="22"/>
          <w:lang w:val="en-GB"/>
        </w:rPr>
        <w:t>new experimental data</w:t>
      </w:r>
      <w:r w:rsidR="004E7E76">
        <w:rPr>
          <w:color w:val="auto"/>
          <w:sz w:val="22"/>
          <w:szCs w:val="22"/>
          <w:lang w:val="en-GB"/>
        </w:rPr>
        <w:t xml:space="preserve"> on MTBE</w:t>
      </w:r>
      <w:r>
        <w:rPr>
          <w:color w:val="auto"/>
          <w:sz w:val="22"/>
          <w:szCs w:val="22"/>
          <w:lang w:val="en-GB"/>
        </w:rPr>
        <w:t xml:space="preserve"> and a more in depth assessment of worker exposure</w:t>
      </w:r>
      <w:r w:rsidR="0008029B">
        <w:rPr>
          <w:color w:val="auto"/>
          <w:sz w:val="22"/>
          <w:szCs w:val="22"/>
          <w:lang w:val="en-GB"/>
        </w:rPr>
        <w:t>,</w:t>
      </w:r>
      <w:r w:rsidR="004E7E76">
        <w:rPr>
          <w:color w:val="auto"/>
          <w:sz w:val="22"/>
          <w:szCs w:val="22"/>
          <w:lang w:val="en-GB"/>
        </w:rPr>
        <w:t xml:space="preserve"> ensur</w:t>
      </w:r>
      <w:r w:rsidR="00071018">
        <w:rPr>
          <w:color w:val="auto"/>
          <w:sz w:val="22"/>
          <w:szCs w:val="22"/>
          <w:lang w:val="en-GB"/>
        </w:rPr>
        <w:t xml:space="preserve">ing the effectiveness of existing </w:t>
      </w:r>
      <w:r w:rsidR="004E7E76" w:rsidRPr="004E7E76">
        <w:rPr>
          <w:color w:val="auto"/>
          <w:sz w:val="22"/>
          <w:szCs w:val="22"/>
          <w:lang w:val="en-GB"/>
        </w:rPr>
        <w:t>safe handling practices</w:t>
      </w:r>
      <w:r>
        <w:rPr>
          <w:color w:val="auto"/>
          <w:sz w:val="22"/>
          <w:szCs w:val="22"/>
          <w:lang w:val="en-GB"/>
        </w:rPr>
        <w:t xml:space="preserve">.  This data </w:t>
      </w:r>
      <w:r w:rsidR="004E7E76">
        <w:rPr>
          <w:color w:val="auto"/>
          <w:sz w:val="22"/>
          <w:szCs w:val="22"/>
          <w:lang w:val="en-GB"/>
        </w:rPr>
        <w:t xml:space="preserve">has been included in an update of MTBE’s REACH dossier and </w:t>
      </w:r>
      <w:r>
        <w:rPr>
          <w:color w:val="auto"/>
          <w:sz w:val="22"/>
          <w:szCs w:val="22"/>
          <w:lang w:val="en-GB"/>
        </w:rPr>
        <w:t>is now available to form a key part of France’s evaluation of MTBE under REACH.</w:t>
      </w:r>
      <w:r w:rsidR="00DE0A4C">
        <w:rPr>
          <w:color w:val="auto"/>
          <w:sz w:val="22"/>
          <w:szCs w:val="22"/>
          <w:lang w:val="en-GB"/>
        </w:rPr>
        <w:t xml:space="preserve"> </w:t>
      </w:r>
    </w:p>
    <w:p w:rsidR="00DE0E0D" w:rsidRDefault="00DE0E0D" w:rsidP="00DE0E0D">
      <w:pPr>
        <w:jc w:val="both"/>
        <w:rPr>
          <w:rFonts w:ascii="Calibri" w:hAnsi="Calibri" w:cs="Calibri"/>
          <w:i/>
          <w:sz w:val="22"/>
          <w:szCs w:val="22"/>
          <w:lang w:val="en-GB"/>
        </w:rPr>
      </w:pPr>
    </w:p>
    <w:p w:rsidR="00DE0E0D" w:rsidRPr="00D754A1" w:rsidRDefault="00DE0E0D" w:rsidP="00DE0E0D">
      <w:pPr>
        <w:jc w:val="both"/>
        <w:rPr>
          <w:rFonts w:ascii="Calibri" w:hAnsi="Calibri" w:cs="Calibri"/>
          <w:i/>
          <w:sz w:val="22"/>
          <w:szCs w:val="22"/>
          <w:lang w:val="en-GB"/>
        </w:rPr>
      </w:pPr>
      <w:r w:rsidRPr="00D754A1">
        <w:rPr>
          <w:rFonts w:ascii="Calibri" w:hAnsi="Calibri" w:cs="Calibri"/>
          <w:i/>
          <w:sz w:val="22"/>
          <w:szCs w:val="22"/>
          <w:lang w:val="en-GB"/>
        </w:rPr>
        <w:t>“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We agree with ANSES that to fully assess MTBE more </w:t>
      </w:r>
      <w:r w:rsidR="00FE4449">
        <w:rPr>
          <w:rFonts w:ascii="Calibri" w:hAnsi="Calibri" w:cs="Calibri"/>
          <w:i/>
          <w:sz w:val="22"/>
          <w:szCs w:val="22"/>
          <w:lang w:val="en-GB"/>
        </w:rPr>
        <w:t>data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than that examined by the Agency is required.</w:t>
      </w:r>
      <w:r w:rsidR="00FE4449">
        <w:rPr>
          <w:rFonts w:ascii="Calibri" w:hAnsi="Calibri" w:cs="Calibri"/>
          <w:i/>
          <w:sz w:val="22"/>
          <w:szCs w:val="22"/>
          <w:lang w:val="en-GB"/>
        </w:rPr>
        <w:t xml:space="preserve"> O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nce ANSES </w:t>
      </w:r>
      <w:r w:rsidR="009A438F">
        <w:rPr>
          <w:rFonts w:ascii="Calibri" w:hAnsi="Calibri" w:cs="Calibri"/>
          <w:i/>
          <w:sz w:val="22"/>
          <w:szCs w:val="22"/>
          <w:lang w:val="en-GB"/>
        </w:rPr>
        <w:t>has the opportunity to look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at the new data in the</w:t>
      </w:r>
      <w:r w:rsidR="00FE4449">
        <w:rPr>
          <w:rFonts w:ascii="Calibri" w:hAnsi="Calibri" w:cs="Calibri"/>
          <w:i/>
          <w:sz w:val="22"/>
          <w:szCs w:val="22"/>
          <w:lang w:val="en-GB"/>
        </w:rPr>
        <w:t xml:space="preserve"> updated REACH dossier we believe it will share our conclusion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that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 xml:space="preserve"> there are n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o </w:t>
      </w:r>
      <w:r w:rsidR="00FE4449">
        <w:rPr>
          <w:rFonts w:ascii="Calibri" w:hAnsi="Calibri" w:cs="Calibri"/>
          <w:i/>
          <w:sz w:val="22"/>
          <w:szCs w:val="22"/>
          <w:lang w:val="en-GB"/>
        </w:rPr>
        <w:t>grounds for concern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>”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041D43">
        <w:rPr>
          <w:rFonts w:ascii="Calibri" w:hAnsi="Calibri" w:cs="Calibri"/>
          <w:i/>
          <w:sz w:val="22"/>
          <w:szCs w:val="22"/>
          <w:lang w:val="en-GB"/>
        </w:rPr>
        <w:t>explained</w:t>
      </w:r>
      <w:r w:rsidR="00FE4449" w:rsidRPr="00DE0A4C">
        <w:rPr>
          <w:rFonts w:ascii="Calibri" w:hAnsi="Calibri" w:cs="Calibri"/>
          <w:sz w:val="22"/>
          <w:szCs w:val="22"/>
          <w:lang w:val="en-GB"/>
        </w:rPr>
        <w:t xml:space="preserve"> Wallace</w:t>
      </w:r>
      <w:r w:rsidR="00FE4449">
        <w:rPr>
          <w:rFonts w:ascii="Calibri" w:hAnsi="Calibri" w:cs="Calibri"/>
          <w:i/>
          <w:sz w:val="22"/>
          <w:szCs w:val="22"/>
          <w:lang w:val="en-GB"/>
        </w:rPr>
        <w:t>.</w:t>
      </w:r>
    </w:p>
    <w:p w:rsidR="00DE0E0D" w:rsidRDefault="00DE0E0D" w:rsidP="00DE0E0D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DE0E0D" w:rsidRDefault="00DE0E0D" w:rsidP="00DE0E0D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6E60CA">
        <w:rPr>
          <w:rFonts w:ascii="Calibri" w:hAnsi="Calibri" w:cs="Calibri"/>
          <w:sz w:val="22"/>
          <w:szCs w:val="22"/>
          <w:lang w:val="en-GB"/>
        </w:rPr>
        <w:t>In 2014</w:t>
      </w:r>
      <w:r>
        <w:rPr>
          <w:rFonts w:ascii="Calibri" w:hAnsi="Calibri" w:cs="Calibri"/>
          <w:sz w:val="22"/>
          <w:szCs w:val="22"/>
          <w:lang w:val="en-GB"/>
        </w:rPr>
        <w:t xml:space="preserve">, MTBE shall undergo a </w:t>
      </w:r>
      <w:r w:rsidRPr="006E60CA">
        <w:rPr>
          <w:rFonts w:ascii="Calibri" w:hAnsi="Calibri" w:cs="Calibri"/>
          <w:sz w:val="22"/>
          <w:szCs w:val="22"/>
          <w:lang w:val="en-GB"/>
        </w:rPr>
        <w:t xml:space="preserve">REACH </w:t>
      </w:r>
      <w:r>
        <w:rPr>
          <w:rFonts w:ascii="Calibri" w:hAnsi="Calibri" w:cs="Calibri"/>
          <w:sz w:val="22"/>
          <w:szCs w:val="22"/>
          <w:lang w:val="en-GB"/>
        </w:rPr>
        <w:t>Substance E</w:t>
      </w:r>
      <w:r w:rsidRPr="006E60CA">
        <w:rPr>
          <w:rFonts w:ascii="Calibri" w:hAnsi="Calibri" w:cs="Calibri"/>
          <w:sz w:val="22"/>
          <w:szCs w:val="22"/>
          <w:lang w:val="en-GB"/>
        </w:rPr>
        <w:t>valuation, as part of the European community rolling action plan (</w:t>
      </w:r>
      <w:proofErr w:type="spellStart"/>
      <w:r w:rsidRPr="006E60CA">
        <w:rPr>
          <w:rFonts w:ascii="Calibri" w:hAnsi="Calibri" w:cs="Calibri"/>
          <w:sz w:val="22"/>
          <w:szCs w:val="22"/>
          <w:lang w:val="en-GB"/>
        </w:rPr>
        <w:t>CoR</w:t>
      </w:r>
      <w:r>
        <w:rPr>
          <w:rFonts w:ascii="Calibri" w:hAnsi="Calibri" w:cs="Calibri"/>
          <w:sz w:val="22"/>
          <w:szCs w:val="22"/>
          <w:lang w:val="en-GB"/>
        </w:rPr>
        <w:t>AP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). The evaluation, which will be performed by ANSES, shall examine the full registration dossier submitted by European producers of the substance.  </w:t>
      </w:r>
    </w:p>
    <w:p w:rsidR="00DE0E0D" w:rsidRDefault="00DE0E0D" w:rsidP="00DE0E0D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DE0E0D" w:rsidRDefault="00DE0E0D" w:rsidP="00DE0E0D">
      <w:pPr>
        <w:jc w:val="both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EFOA holds that “</w:t>
      </w:r>
      <w:r>
        <w:rPr>
          <w:rFonts w:ascii="Calibri" w:hAnsi="Calibri" w:cs="Calibri"/>
          <w:i/>
          <w:sz w:val="22"/>
          <w:szCs w:val="22"/>
          <w:lang w:val="en-GB"/>
        </w:rPr>
        <w:t>e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 xml:space="preserve">valuated for </w:t>
      </w:r>
      <w:r>
        <w:rPr>
          <w:rFonts w:ascii="Calibri" w:hAnsi="Calibri" w:cs="Calibri"/>
          <w:i/>
          <w:sz w:val="22"/>
          <w:szCs w:val="22"/>
          <w:lang w:val="en-GB"/>
        </w:rPr>
        <w:t>its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 xml:space="preserve"> safety under numerous regulatory frameworks and show</w:t>
      </w:r>
      <w:r>
        <w:rPr>
          <w:rFonts w:ascii="Calibri" w:hAnsi="Calibri" w:cs="Calibri"/>
          <w:i/>
          <w:sz w:val="22"/>
          <w:szCs w:val="22"/>
          <w:lang w:val="en-GB"/>
        </w:rPr>
        <w:t>n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 xml:space="preserve"> to be safe for humans and the environment, the use of MTBE as a component in fuel provide great environmental benefits, reducing the </w:t>
      </w:r>
      <w:r>
        <w:rPr>
          <w:rFonts w:ascii="Calibri" w:hAnsi="Calibri" w:cs="Calibri"/>
          <w:i/>
          <w:sz w:val="22"/>
          <w:szCs w:val="22"/>
          <w:lang w:val="en-GB"/>
        </w:rPr>
        <w:t>emissions of volatile compounds</w:t>
      </w:r>
      <w:r w:rsidRPr="001263F6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Pr="00D754A1">
        <w:rPr>
          <w:rFonts w:ascii="Calibri" w:hAnsi="Calibri" w:cs="Calibri"/>
          <w:i/>
          <w:sz w:val="22"/>
          <w:szCs w:val="22"/>
          <w:lang w:val="en-GB"/>
        </w:rPr>
        <w:t>from petrol</w:t>
      </w:r>
      <w:r>
        <w:rPr>
          <w:rFonts w:ascii="Calibri" w:hAnsi="Calibri" w:cs="Calibri"/>
          <w:i/>
          <w:sz w:val="22"/>
          <w:szCs w:val="22"/>
          <w:lang w:val="en-GB"/>
        </w:rPr>
        <w:t>, t</w:t>
      </w:r>
      <w:r w:rsidRPr="001263F6">
        <w:rPr>
          <w:rFonts w:ascii="Calibri" w:hAnsi="Calibri" w:cs="Calibri"/>
          <w:i/>
          <w:sz w:val="22"/>
          <w:szCs w:val="22"/>
          <w:lang w:val="en-GB"/>
        </w:rPr>
        <w:t>he overall vapour pressure of gasoline and the related evaporati</w:t>
      </w:r>
      <w:r>
        <w:rPr>
          <w:rFonts w:ascii="Calibri" w:hAnsi="Calibri" w:cs="Calibri"/>
          <w:i/>
          <w:sz w:val="22"/>
          <w:szCs w:val="22"/>
          <w:lang w:val="en-GB"/>
        </w:rPr>
        <w:t>ve emissions to air which cause</w:t>
      </w:r>
      <w:r w:rsidRPr="001263F6">
        <w:rPr>
          <w:rFonts w:ascii="Calibri" w:hAnsi="Calibri" w:cs="Calibri"/>
          <w:i/>
          <w:sz w:val="22"/>
          <w:szCs w:val="22"/>
          <w:lang w:val="en-GB"/>
        </w:rPr>
        <w:t xml:space="preserve"> ozone</w:t>
      </w:r>
      <w:r w:rsidRPr="009F588E">
        <w:rPr>
          <w:rFonts w:ascii="Calibri" w:hAnsi="Calibri" w:cs="Calibri"/>
          <w:i/>
          <w:sz w:val="22"/>
          <w:szCs w:val="22"/>
          <w:lang w:val="en-GB"/>
        </w:rPr>
        <w:t>.</w:t>
      </w:r>
      <w:r w:rsidRPr="001263F6">
        <w:rPr>
          <w:rFonts w:ascii="Calibri" w:hAnsi="Calibri" w:cs="Calibri"/>
          <w:i/>
          <w:sz w:val="22"/>
          <w:szCs w:val="22"/>
          <w:lang w:val="en-GB"/>
        </w:rPr>
        <w:t>”</w:t>
      </w:r>
    </w:p>
    <w:p w:rsidR="00E9742F" w:rsidRDefault="00E9742F" w:rsidP="00426BE5">
      <w:pPr>
        <w:pStyle w:val="Default"/>
        <w:jc w:val="both"/>
        <w:rPr>
          <w:color w:val="auto"/>
          <w:sz w:val="22"/>
          <w:szCs w:val="22"/>
          <w:lang w:val="en-GB"/>
        </w:rPr>
      </w:pPr>
    </w:p>
    <w:p w:rsidR="00E9742F" w:rsidRPr="006E60CA" w:rsidRDefault="00E9742F" w:rsidP="00E9742F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6E60CA">
        <w:rPr>
          <w:rFonts w:ascii="Calibri" w:hAnsi="Calibri" w:cs="Calibri"/>
          <w:sz w:val="22"/>
          <w:szCs w:val="22"/>
          <w:lang w:val="en-GB"/>
        </w:rPr>
        <w:t>The European Fuel Oxygenates Association is a sector group of CEFIC, the Euro</w:t>
      </w:r>
      <w:r>
        <w:rPr>
          <w:rFonts w:ascii="Calibri" w:hAnsi="Calibri" w:cs="Calibri"/>
          <w:sz w:val="22"/>
          <w:szCs w:val="22"/>
          <w:lang w:val="en-GB"/>
        </w:rPr>
        <w:t>pean Chemical Industry Council.</w:t>
      </w:r>
    </w:p>
    <w:p w:rsidR="006E60CA" w:rsidRPr="00E9742F" w:rsidRDefault="006E60CA" w:rsidP="006E60C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F3D52" w:rsidRDefault="00DF3D52" w:rsidP="00FA5A7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F3D52" w:rsidRDefault="00DF3D52" w:rsidP="00FA5A7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92CDF" w:rsidRPr="005C0AF9" w:rsidRDefault="00F92CDF" w:rsidP="00FA5A7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C0AF9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For more information, please contact:</w:t>
      </w:r>
    </w:p>
    <w:p w:rsidR="00897AEA" w:rsidRPr="00246BF6" w:rsidRDefault="00897AEA" w:rsidP="00897AEA">
      <w:pPr>
        <w:rPr>
          <w:rFonts w:asciiTheme="minorHAnsi" w:hAnsiTheme="minorHAnsi" w:cstheme="minorHAnsi"/>
          <w:sz w:val="22"/>
          <w:szCs w:val="22"/>
        </w:rPr>
      </w:pPr>
    </w:p>
    <w:p w:rsidR="007B79D5" w:rsidRPr="00902726" w:rsidRDefault="00902726" w:rsidP="00897AEA">
      <w:pPr>
        <w:rPr>
          <w:rFonts w:asciiTheme="minorHAnsi" w:hAnsiTheme="minorHAnsi" w:cstheme="minorHAnsi"/>
          <w:sz w:val="22"/>
          <w:szCs w:val="22"/>
        </w:rPr>
      </w:pPr>
      <w:r w:rsidRPr="00902726">
        <w:rPr>
          <w:rFonts w:asciiTheme="minorHAnsi" w:hAnsiTheme="minorHAnsi" w:cstheme="minorHAnsi"/>
          <w:sz w:val="22"/>
          <w:szCs w:val="22"/>
        </w:rPr>
        <w:t xml:space="preserve">Mr. </w:t>
      </w:r>
      <w:r w:rsidR="006E60CA" w:rsidRPr="00902726">
        <w:rPr>
          <w:rFonts w:asciiTheme="minorHAnsi" w:hAnsiTheme="minorHAnsi" w:cstheme="minorHAnsi"/>
          <w:sz w:val="22"/>
          <w:szCs w:val="22"/>
        </w:rPr>
        <w:t>Graeme Wallace</w:t>
      </w:r>
    </w:p>
    <w:p w:rsidR="00897AEA" w:rsidRPr="00902726" w:rsidRDefault="00897AEA" w:rsidP="00897AEA">
      <w:pPr>
        <w:rPr>
          <w:rFonts w:asciiTheme="minorHAnsi" w:hAnsiTheme="minorHAnsi" w:cstheme="minorHAnsi"/>
          <w:sz w:val="22"/>
          <w:szCs w:val="22"/>
        </w:rPr>
      </w:pPr>
      <w:r w:rsidRPr="00902726">
        <w:rPr>
          <w:rFonts w:asciiTheme="minorHAnsi" w:hAnsiTheme="minorHAnsi" w:cstheme="minorHAnsi"/>
          <w:sz w:val="22"/>
          <w:szCs w:val="22"/>
        </w:rPr>
        <w:t>EFOA</w:t>
      </w:r>
    </w:p>
    <w:p w:rsidR="00897AEA" w:rsidRPr="00902726" w:rsidRDefault="00897AEA" w:rsidP="00897AEA">
      <w:pPr>
        <w:rPr>
          <w:rFonts w:asciiTheme="minorHAnsi" w:hAnsiTheme="minorHAnsi" w:cstheme="minorHAnsi"/>
          <w:sz w:val="22"/>
          <w:szCs w:val="22"/>
        </w:rPr>
      </w:pPr>
      <w:r w:rsidRPr="00902726">
        <w:rPr>
          <w:rFonts w:asciiTheme="minorHAnsi" w:hAnsiTheme="minorHAnsi" w:cstheme="minorHAnsi"/>
          <w:sz w:val="22"/>
          <w:szCs w:val="22"/>
        </w:rPr>
        <w:t xml:space="preserve">Avenue E. Van </w:t>
      </w:r>
      <w:proofErr w:type="spellStart"/>
      <w:r w:rsidRPr="00902726">
        <w:rPr>
          <w:rFonts w:asciiTheme="minorHAnsi" w:hAnsiTheme="minorHAnsi" w:cstheme="minorHAnsi"/>
          <w:sz w:val="22"/>
          <w:szCs w:val="22"/>
        </w:rPr>
        <w:t>Nieuwenhuyse</w:t>
      </w:r>
      <w:proofErr w:type="spellEnd"/>
      <w:r w:rsidRPr="00902726">
        <w:rPr>
          <w:rFonts w:asciiTheme="minorHAnsi" w:hAnsiTheme="minorHAnsi" w:cstheme="minorHAnsi"/>
          <w:sz w:val="22"/>
          <w:szCs w:val="22"/>
        </w:rPr>
        <w:t xml:space="preserve"> 4</w:t>
      </w:r>
    </w:p>
    <w:p w:rsidR="00897AEA" w:rsidRPr="008544A5" w:rsidRDefault="00897AEA" w:rsidP="00897AE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544A5">
        <w:rPr>
          <w:rFonts w:asciiTheme="minorHAnsi" w:hAnsiTheme="minorHAnsi" w:cstheme="minorHAnsi"/>
          <w:sz w:val="22"/>
          <w:szCs w:val="22"/>
          <w:lang w:val="de-DE"/>
        </w:rPr>
        <w:t>B - 1160 Brussels, Belgium</w:t>
      </w:r>
    </w:p>
    <w:p w:rsidR="00897AEA" w:rsidRPr="008544A5" w:rsidRDefault="00897AEA" w:rsidP="00897AE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544A5">
        <w:rPr>
          <w:rFonts w:asciiTheme="minorHAnsi" w:hAnsiTheme="minorHAnsi" w:cstheme="minorHAnsi"/>
          <w:sz w:val="22"/>
          <w:szCs w:val="22"/>
          <w:lang w:val="de-DE"/>
        </w:rPr>
        <w:t xml:space="preserve">Tel. +32 2 676 </w:t>
      </w:r>
      <w:r w:rsidR="00D334CF" w:rsidRPr="008544A5">
        <w:rPr>
          <w:rFonts w:asciiTheme="minorHAnsi" w:hAnsiTheme="minorHAnsi" w:cstheme="minorHAnsi"/>
          <w:sz w:val="22"/>
          <w:szCs w:val="22"/>
          <w:lang w:val="de-DE"/>
        </w:rPr>
        <w:t>7410</w:t>
      </w:r>
    </w:p>
    <w:p w:rsidR="00F92CDF" w:rsidRPr="008544A5" w:rsidRDefault="00897AEA" w:rsidP="00897AE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544A5">
        <w:rPr>
          <w:rFonts w:asciiTheme="minorHAnsi" w:hAnsiTheme="minorHAnsi" w:cstheme="minorHAnsi"/>
          <w:sz w:val="22"/>
          <w:szCs w:val="22"/>
          <w:lang w:val="de-DE"/>
        </w:rPr>
        <w:t xml:space="preserve">Fax +32 2 676 </w:t>
      </w:r>
      <w:r w:rsidR="00D334CF" w:rsidRPr="008544A5">
        <w:rPr>
          <w:rFonts w:asciiTheme="minorHAnsi" w:hAnsiTheme="minorHAnsi" w:cstheme="minorHAnsi"/>
          <w:sz w:val="22"/>
          <w:szCs w:val="22"/>
          <w:lang w:val="de-DE"/>
        </w:rPr>
        <w:t>7216</w:t>
      </w:r>
    </w:p>
    <w:p w:rsidR="00897AEA" w:rsidRPr="005C0AF9" w:rsidRDefault="00897AEA" w:rsidP="00897AEA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E-mail: </w:t>
      </w:r>
      <w:hyperlink r:id="rId9" w:history="1">
        <w:r w:rsidRPr="00220ECE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info@efoa.eu</w:t>
        </w:r>
      </w:hyperlink>
    </w:p>
    <w:sectPr w:rsidR="00897AEA" w:rsidRPr="005C0AF9" w:rsidSect="00C94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06" w:rsidRDefault="00F42206" w:rsidP="00382400">
      <w:r>
        <w:separator/>
      </w:r>
    </w:p>
  </w:endnote>
  <w:endnote w:type="continuationSeparator" w:id="0">
    <w:p w:rsidR="00F42206" w:rsidRDefault="00F42206" w:rsidP="0038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75" w:rsidRDefault="00F15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75" w:rsidRDefault="00F15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75" w:rsidRDefault="00F15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06" w:rsidRDefault="00F42206" w:rsidP="00382400">
      <w:r>
        <w:separator/>
      </w:r>
    </w:p>
  </w:footnote>
  <w:footnote w:type="continuationSeparator" w:id="0">
    <w:p w:rsidR="00F42206" w:rsidRDefault="00F42206" w:rsidP="0038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75" w:rsidRDefault="00F15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00" w:rsidRDefault="00897AEA" w:rsidP="00897AE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-30480</wp:posOffset>
          </wp:positionV>
          <wp:extent cx="844550" cy="8159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75" w:rsidRDefault="00F15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522"/>
    <w:multiLevelType w:val="hybridMultilevel"/>
    <w:tmpl w:val="9C947FE8"/>
    <w:lvl w:ilvl="0" w:tplc="3C68D82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47AA"/>
    <w:multiLevelType w:val="hybridMultilevel"/>
    <w:tmpl w:val="8A5E9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8E964"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Tunga" w:eastAsia="Times New Roman" w:hAnsi="Tunga" w:hint="default"/>
      </w:rPr>
    </w:lvl>
    <w:lvl w:ilvl="3" w:tplc="50B224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MS Mincho" w:hAnsi="Arial" w:hint="default"/>
        <w:color w:val="auto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71"/>
    <w:rsid w:val="000018B7"/>
    <w:rsid w:val="00013C01"/>
    <w:rsid w:val="00041D43"/>
    <w:rsid w:val="000436D6"/>
    <w:rsid w:val="00071018"/>
    <w:rsid w:val="0008029B"/>
    <w:rsid w:val="00084CFF"/>
    <w:rsid w:val="000D10D5"/>
    <w:rsid w:val="001263F6"/>
    <w:rsid w:val="001424D6"/>
    <w:rsid w:val="00146493"/>
    <w:rsid w:val="00156FF3"/>
    <w:rsid w:val="0019281D"/>
    <w:rsid w:val="001A0A81"/>
    <w:rsid w:val="00216FB5"/>
    <w:rsid w:val="00246BF6"/>
    <w:rsid w:val="00261154"/>
    <w:rsid w:val="00283BD3"/>
    <w:rsid w:val="002C7490"/>
    <w:rsid w:val="0031633D"/>
    <w:rsid w:val="00320B21"/>
    <w:rsid w:val="00347DBE"/>
    <w:rsid w:val="00382400"/>
    <w:rsid w:val="003B3916"/>
    <w:rsid w:val="003C4ED1"/>
    <w:rsid w:val="003D04C9"/>
    <w:rsid w:val="004011BF"/>
    <w:rsid w:val="00426BE5"/>
    <w:rsid w:val="00434B41"/>
    <w:rsid w:val="00451567"/>
    <w:rsid w:val="004914A0"/>
    <w:rsid w:val="00493F15"/>
    <w:rsid w:val="004A42A8"/>
    <w:rsid w:val="004E3628"/>
    <w:rsid w:val="004E7E76"/>
    <w:rsid w:val="004F294F"/>
    <w:rsid w:val="00503EA8"/>
    <w:rsid w:val="005367AC"/>
    <w:rsid w:val="00552F17"/>
    <w:rsid w:val="00572CD2"/>
    <w:rsid w:val="005C0AF9"/>
    <w:rsid w:val="005E389A"/>
    <w:rsid w:val="006011A9"/>
    <w:rsid w:val="00605DD0"/>
    <w:rsid w:val="00612273"/>
    <w:rsid w:val="00617D79"/>
    <w:rsid w:val="006560CC"/>
    <w:rsid w:val="0065738C"/>
    <w:rsid w:val="00661C8E"/>
    <w:rsid w:val="00664B46"/>
    <w:rsid w:val="00667809"/>
    <w:rsid w:val="00690C9E"/>
    <w:rsid w:val="006C389A"/>
    <w:rsid w:val="006C4CB3"/>
    <w:rsid w:val="006E2162"/>
    <w:rsid w:val="006E60CA"/>
    <w:rsid w:val="007117A6"/>
    <w:rsid w:val="007238A1"/>
    <w:rsid w:val="00741053"/>
    <w:rsid w:val="00763427"/>
    <w:rsid w:val="007855FD"/>
    <w:rsid w:val="007B79D5"/>
    <w:rsid w:val="007F0823"/>
    <w:rsid w:val="007F19FD"/>
    <w:rsid w:val="00807E80"/>
    <w:rsid w:val="008544A5"/>
    <w:rsid w:val="00894FE9"/>
    <w:rsid w:val="00897AEA"/>
    <w:rsid w:val="008A4264"/>
    <w:rsid w:val="008C7771"/>
    <w:rsid w:val="00902726"/>
    <w:rsid w:val="00913C75"/>
    <w:rsid w:val="00920FC5"/>
    <w:rsid w:val="00925BAF"/>
    <w:rsid w:val="00970998"/>
    <w:rsid w:val="009874CE"/>
    <w:rsid w:val="009A438F"/>
    <w:rsid w:val="009F50D7"/>
    <w:rsid w:val="009F588E"/>
    <w:rsid w:val="00A046C8"/>
    <w:rsid w:val="00A35BBF"/>
    <w:rsid w:val="00A749B8"/>
    <w:rsid w:val="00A861D7"/>
    <w:rsid w:val="00A91D86"/>
    <w:rsid w:val="00AC5C37"/>
    <w:rsid w:val="00B01CA3"/>
    <w:rsid w:val="00B07F45"/>
    <w:rsid w:val="00B50B4B"/>
    <w:rsid w:val="00B7318C"/>
    <w:rsid w:val="00B878FB"/>
    <w:rsid w:val="00BA375E"/>
    <w:rsid w:val="00BA4736"/>
    <w:rsid w:val="00BD329A"/>
    <w:rsid w:val="00BE25BB"/>
    <w:rsid w:val="00C05297"/>
    <w:rsid w:val="00C31B60"/>
    <w:rsid w:val="00C727EF"/>
    <w:rsid w:val="00C76662"/>
    <w:rsid w:val="00C82C56"/>
    <w:rsid w:val="00C83600"/>
    <w:rsid w:val="00C94E86"/>
    <w:rsid w:val="00CC5D7C"/>
    <w:rsid w:val="00CF6F20"/>
    <w:rsid w:val="00D0128F"/>
    <w:rsid w:val="00D07456"/>
    <w:rsid w:val="00D223B4"/>
    <w:rsid w:val="00D26A80"/>
    <w:rsid w:val="00D334CF"/>
    <w:rsid w:val="00D754A1"/>
    <w:rsid w:val="00DE0A4C"/>
    <w:rsid w:val="00DE0E0D"/>
    <w:rsid w:val="00DF3D52"/>
    <w:rsid w:val="00DF44C8"/>
    <w:rsid w:val="00DF5E1F"/>
    <w:rsid w:val="00E066CD"/>
    <w:rsid w:val="00E77D4D"/>
    <w:rsid w:val="00E8121B"/>
    <w:rsid w:val="00E94A6F"/>
    <w:rsid w:val="00E9742F"/>
    <w:rsid w:val="00EC2EF5"/>
    <w:rsid w:val="00EF522D"/>
    <w:rsid w:val="00EF52DD"/>
    <w:rsid w:val="00F0702E"/>
    <w:rsid w:val="00F15C75"/>
    <w:rsid w:val="00F22739"/>
    <w:rsid w:val="00F40D67"/>
    <w:rsid w:val="00F42206"/>
    <w:rsid w:val="00F673C1"/>
    <w:rsid w:val="00F92CDF"/>
    <w:rsid w:val="00F94D4A"/>
    <w:rsid w:val="00FA5A71"/>
    <w:rsid w:val="00FB7023"/>
    <w:rsid w:val="00FE3B1C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7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5A71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FA5A71"/>
    <w:pPr>
      <w:autoSpaceDE w:val="0"/>
      <w:autoSpaceDN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A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27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2273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0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0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4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2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7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5A71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FA5A71"/>
    <w:pPr>
      <w:autoSpaceDE w:val="0"/>
      <w:autoSpaceDN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A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27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2273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0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0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4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2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fo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96EE-B358-4DE7-BEDC-B55D2BA4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2442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Fleishman-Hillard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Wilkinson, Lorraine</dc:creator>
  <cp:lastModifiedBy>awh</cp:lastModifiedBy>
  <cp:revision>2</cp:revision>
  <cp:lastPrinted>2014-05-28T07:07:00Z</cp:lastPrinted>
  <dcterms:created xsi:type="dcterms:W3CDTF">2014-05-28T07:08:00Z</dcterms:created>
  <dcterms:modified xsi:type="dcterms:W3CDTF">2014-05-28T07:08:00Z</dcterms:modified>
</cp:coreProperties>
</file>